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4B" w:rsidRDefault="00FE0D4B" w:rsidP="00FE0D4B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La Commissione prende atto che essa disporrà di un massimo di punti 100 (cento). Nel caso si ricorra al colloquio il punteggio (100 punti) viene ripartito nel modo seguente: un massimo di 60 (sessanta) punti per la valutazione dei titoli e un massimo di 40 (quaranta) punti per la valutazione del colloquio. Nel caso non si ricorra al colloquio il punteggio a disposizione sarà esclusivamente quello destinato ai titoli (60 punti). La commissione stabilisce che verranno considerati ai fini della graduatoria finale solo i candidati che avranno riportato un punteggio minimo di 42/60 punti alla valutazione dei titoli e di 70/100 alla valutazione finale nel caso in cui si ricorra al colloquio. La commissione stabilisce che il punteggio a disposizione per la valutazione dei titoli sarà così ripartito:</w:t>
      </w:r>
    </w:p>
    <w:p w:rsidR="00FE0D4B" w:rsidRDefault="00FE0D4B" w:rsidP="00FE0D4B">
      <w:pPr>
        <w:spacing w:line="360" w:lineRule="auto"/>
        <w:ind w:left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un massimo di 40/60 per il Curriculum Vitae suddivisi in </w:t>
      </w:r>
    </w:p>
    <w:p w:rsidR="00FE0D4B" w:rsidRDefault="00FE0D4B" w:rsidP="00FE0D4B">
      <w:pPr>
        <w:spacing w:line="360" w:lineRule="auto"/>
        <w:ind w:left="709" w:firstLine="708"/>
        <w:jc w:val="both"/>
        <w:rPr>
          <w:sz w:val="23"/>
          <w:szCs w:val="23"/>
        </w:rPr>
      </w:pPr>
      <w:r>
        <w:rPr>
          <w:sz w:val="23"/>
          <w:szCs w:val="23"/>
        </w:rPr>
        <w:t>◦ un massimo di 15/60 punti per l'attività di ricerca complessiva;</w:t>
      </w:r>
    </w:p>
    <w:p w:rsidR="00FE0D4B" w:rsidRDefault="00FE0D4B" w:rsidP="00FE0D4B">
      <w:pPr>
        <w:spacing w:line="360" w:lineRule="auto"/>
        <w:ind w:left="709" w:firstLine="708"/>
        <w:jc w:val="both"/>
        <w:rPr>
          <w:sz w:val="23"/>
          <w:szCs w:val="23"/>
        </w:rPr>
      </w:pPr>
      <w:r>
        <w:rPr>
          <w:sz w:val="23"/>
          <w:szCs w:val="23"/>
        </w:rPr>
        <w:t>◦ un massimo di 15/60 punti per esperienza nelle tematiche attinenti il bando;</w:t>
      </w:r>
    </w:p>
    <w:p w:rsidR="00FE0D4B" w:rsidRDefault="00FE0D4B" w:rsidP="00FE0D4B">
      <w:pPr>
        <w:spacing w:line="360" w:lineRule="auto"/>
        <w:ind w:left="709" w:firstLine="708"/>
        <w:jc w:val="both"/>
        <w:rPr>
          <w:sz w:val="23"/>
          <w:szCs w:val="23"/>
        </w:rPr>
      </w:pPr>
      <w:r>
        <w:rPr>
          <w:sz w:val="23"/>
          <w:szCs w:val="23"/>
        </w:rPr>
        <w:t>◦ un massimo di 10/60 punti per competenze nella programmazione;</w:t>
      </w:r>
    </w:p>
    <w:p w:rsidR="00FE0D4B" w:rsidRDefault="00FE0D4B" w:rsidP="00FE0D4B">
      <w:pPr>
        <w:spacing w:line="360" w:lineRule="auto"/>
        <w:ind w:left="709"/>
        <w:jc w:val="both"/>
        <w:rPr>
          <w:sz w:val="23"/>
          <w:szCs w:val="23"/>
        </w:rPr>
      </w:pPr>
      <w:r>
        <w:rPr>
          <w:sz w:val="23"/>
          <w:szCs w:val="23"/>
        </w:rPr>
        <w:t>• un massimo di 15/60 punti per le pubblicazioni attinenti all’area di ricerca;</w:t>
      </w:r>
    </w:p>
    <w:p w:rsidR="001A29CD" w:rsidRDefault="00FE0D4B" w:rsidP="00FE0D4B">
      <w:pPr>
        <w:spacing w:line="360" w:lineRule="auto"/>
        <w:ind w:left="709"/>
        <w:jc w:val="both"/>
      </w:pPr>
      <w:r>
        <w:rPr>
          <w:sz w:val="23"/>
          <w:szCs w:val="23"/>
        </w:rPr>
        <w:t>• un massimo di 5/60 punti per la tesi di dottorato.</w:t>
      </w:r>
      <w:bookmarkStart w:id="0" w:name="_GoBack"/>
      <w:bookmarkEnd w:id="0"/>
    </w:p>
    <w:sectPr w:rsidR="001A29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CE"/>
    <w:rsid w:val="001A29CD"/>
    <w:rsid w:val="00883FCE"/>
    <w:rsid w:val="00FE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5725D"/>
  <w15:chartTrackingRefBased/>
  <w15:docId w15:val="{D6C75BEB-6BD3-4F41-934F-1D36A2F1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2023-01-20T09:01:00Z</dcterms:created>
  <dcterms:modified xsi:type="dcterms:W3CDTF">2023-01-20T09:03:00Z</dcterms:modified>
</cp:coreProperties>
</file>