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78E18492" w:rsidR="00F0714A" w:rsidRPr="00AC4C82" w:rsidRDefault="00AC4C8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tillium" w:eastAsia="Titillium" w:hAnsi="Titillium" w:cs="Titillium"/>
          <w:b/>
          <w:bCs/>
          <w:color w:val="000000"/>
          <w:sz w:val="21"/>
          <w:szCs w:val="21"/>
        </w:rPr>
      </w:pPr>
      <w:r w:rsidRPr="00AC4C82">
        <w:rPr>
          <w:b/>
          <w:bCs/>
        </w:rPr>
        <w:t>Manifestazione di interesse finalizzata all’individuazione di operatori economici da invitare alla procedura di Richiesta di Offerta (R.D.O.) sulla piattaforma Consip – Mercato Elettronico della Pubblica Amministrazione (</w:t>
      </w:r>
      <w:proofErr w:type="spellStart"/>
      <w:r w:rsidRPr="00AC4C82">
        <w:rPr>
          <w:b/>
          <w:bCs/>
        </w:rPr>
        <w:t>MePA</w:t>
      </w:r>
      <w:proofErr w:type="spellEnd"/>
      <w:r w:rsidRPr="00AC4C82">
        <w:rPr>
          <w:b/>
          <w:bCs/>
        </w:rPr>
        <w:t xml:space="preserve">), per l’affidamento in concessione del servizio triennale di somministrazione di bevande calde e fredde, alimenti, </w:t>
      </w:r>
      <w:proofErr w:type="gramStart"/>
      <w:r w:rsidRPr="00AC4C82">
        <w:rPr>
          <w:b/>
          <w:bCs/>
        </w:rPr>
        <w:t>snack</w:t>
      </w:r>
      <w:proofErr w:type="gramEnd"/>
      <w:r w:rsidRPr="00AC4C82">
        <w:rPr>
          <w:b/>
          <w:bCs/>
        </w:rPr>
        <w:t xml:space="preserve"> e altri generi di ristoro mediante distributori automatici presso la sede dell’INAF – Osservatorio Astronomico di Roma di Monte Porzio Catone (RM).</w:t>
      </w:r>
    </w:p>
    <w:p w14:paraId="00000003" w14:textId="77777777" w:rsidR="00F0714A" w:rsidRDefault="00F0714A">
      <w:pPr>
        <w:pBdr>
          <w:top w:val="nil"/>
          <w:left w:val="nil"/>
          <w:bottom w:val="nil"/>
          <w:right w:val="nil"/>
          <w:between w:val="nil"/>
        </w:pBdr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04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b/>
          <w:bCs/>
          <w:color w:val="000000"/>
          <w:sz w:val="21"/>
          <w:szCs w:val="21"/>
        </w:rPr>
        <w:t>ISTANZA DI MANIFESTAZIONE DI INTERESSE</w:t>
      </w:r>
    </w:p>
    <w:p w14:paraId="00000005" w14:textId="77777777" w:rsidR="00F0714A" w:rsidRDefault="00F0714A">
      <w:pPr>
        <w:pBdr>
          <w:top w:val="nil"/>
          <w:left w:val="nil"/>
          <w:bottom w:val="nil"/>
          <w:right w:val="nil"/>
          <w:between w:val="nil"/>
        </w:pBdr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06" w14:textId="77777777" w:rsidR="00F0714A" w:rsidRDefault="00F0714A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Titillium" w:eastAsia="Titillium" w:hAnsi="Titillium" w:cs="Titillium"/>
          <w:color w:val="000000"/>
          <w:sz w:val="21"/>
          <w:szCs w:val="21"/>
        </w:rPr>
      </w:pPr>
    </w:p>
    <w:p w14:paraId="00000007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74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Il/La sottoscritto/a ________________________________________________________</w:t>
      </w:r>
      <w:r>
        <w:rPr>
          <w:rFonts w:ascii="Titillium" w:eastAsia="Titillium" w:hAnsi="Titillium" w:cs="Titillium"/>
          <w:sz w:val="21"/>
          <w:szCs w:val="21"/>
        </w:rPr>
        <w:t xml:space="preserve"> </w:t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Luogo di nascita______________________________ Data di </w:t>
      </w:r>
      <w:proofErr w:type="spellStart"/>
      <w:r>
        <w:rPr>
          <w:rFonts w:ascii="Titillium" w:eastAsia="Titillium" w:hAnsi="Titillium" w:cs="Titillium"/>
          <w:color w:val="000000"/>
          <w:sz w:val="21"/>
          <w:szCs w:val="21"/>
        </w:rPr>
        <w:t>nascita________________Codice</w:t>
      </w:r>
      <w:proofErr w:type="spellEnd"/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fiscale: ___________________________________________________________Residente in</w:t>
      </w:r>
      <w:r>
        <w:rPr>
          <w:rFonts w:ascii="Titillium" w:eastAsia="Titillium" w:hAnsi="Titillium" w:cs="Titillium"/>
          <w:sz w:val="21"/>
          <w:szCs w:val="21"/>
        </w:rPr>
        <w:t xml:space="preserve"> </w:t>
      </w:r>
      <w:r>
        <w:rPr>
          <w:rFonts w:ascii="Titillium" w:eastAsia="Titillium" w:hAnsi="Titillium" w:cs="Titillium"/>
          <w:color w:val="000000"/>
          <w:sz w:val="21"/>
          <w:szCs w:val="21"/>
        </w:rPr>
        <w:t>_________________________Prov._________CAP_________________Via_______________________, numero _______________</w:t>
      </w:r>
    </w:p>
    <w:p w14:paraId="00000008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275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in qualità di rappresentante legale dell’Operatore Economico ________________________________________________________________________Tipologia</w:t>
      </w:r>
      <w:r>
        <w:rPr>
          <w:rFonts w:ascii="Titillium" w:eastAsia="Titillium" w:hAnsi="Titillium" w:cs="Titillium"/>
          <w:color w:val="000000"/>
          <w:sz w:val="21"/>
          <w:szCs w:val="21"/>
          <w:vertAlign w:val="superscript"/>
        </w:rPr>
        <w:footnoteReference w:id="1"/>
      </w: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______________________________________________________________Forma giuridica _____________________________________________Codice Fiscale_________________________________________________________</w:t>
      </w:r>
    </w:p>
    <w:p w14:paraId="00000009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74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Partita IVA ______________________________________________________________</w:t>
      </w:r>
    </w:p>
    <w:p w14:paraId="0000000A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74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Con sede legale in _________________________________________Prov. _______</w:t>
      </w:r>
    </w:p>
    <w:p w14:paraId="0000000B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74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CAP _______, Via/Piazza __________________________________________, numero ______________</w:t>
      </w:r>
    </w:p>
    <w:p w14:paraId="0000000C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74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Tel. ____________________ </w:t>
      </w:r>
    </w:p>
    <w:p w14:paraId="0000000D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74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>Fax _______________________________ E-mail _______________________________</w:t>
      </w:r>
    </w:p>
    <w:p w14:paraId="0000000E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74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PEC ____________________________________________________________________ </w:t>
      </w:r>
    </w:p>
    <w:p w14:paraId="0000000F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74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Domicilio </w:t>
      </w:r>
      <w:proofErr w:type="gramStart"/>
      <w:r>
        <w:rPr>
          <w:rFonts w:ascii="Titillium" w:eastAsia="Titillium" w:hAnsi="Titillium" w:cs="Titillium"/>
          <w:color w:val="000000"/>
          <w:sz w:val="21"/>
          <w:szCs w:val="21"/>
        </w:rPr>
        <w:t>eletto  in</w:t>
      </w:r>
      <w:proofErr w:type="gramEnd"/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________________________________________ Prov. ________ CAP __________ Via/Piazza _______________________________________________ Tel. ________________ </w:t>
      </w:r>
    </w:p>
    <w:p w14:paraId="00000010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right="-574"/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Fax _______________________________ E-mail _______________________________ PEC __________________________________________________________________ </w:t>
      </w:r>
    </w:p>
    <w:p w14:paraId="00000011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Titillium" w:eastAsia="Titillium" w:hAnsi="Titillium" w:cs="Titillium"/>
          <w:color w:val="000000"/>
          <w:sz w:val="21"/>
          <w:szCs w:val="21"/>
        </w:rPr>
      </w:pPr>
      <w:r>
        <w:rPr>
          <w:rFonts w:ascii="Titillium" w:eastAsia="Titillium" w:hAnsi="Titillium" w:cs="Titillium"/>
          <w:color w:val="000000"/>
          <w:sz w:val="21"/>
          <w:szCs w:val="21"/>
        </w:rPr>
        <w:t xml:space="preserve"> </w:t>
      </w:r>
    </w:p>
    <w:p w14:paraId="00000012" w14:textId="2FD2EE2E" w:rsidR="00F0714A" w:rsidRDefault="00000000">
      <w:pPr>
        <w:spacing w:before="240" w:after="240"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chiede di partecipare alla procedura negoziata indicata in oggetto, consapevole che il valore stimato della concessione è pari ad euro </w:t>
      </w:r>
      <w:r>
        <w:rPr>
          <w:rFonts w:ascii="Titillium" w:eastAsia="Titillium" w:hAnsi="Titillium" w:cs="Titillium"/>
          <w:b/>
          <w:bCs/>
          <w:sz w:val="21"/>
          <w:szCs w:val="21"/>
        </w:rPr>
        <w:t>120.900,00 (IVA inclusa)</w:t>
      </w:r>
      <w:r>
        <w:rPr>
          <w:rFonts w:ascii="Titillium" w:eastAsia="Titillium" w:hAnsi="Titillium" w:cs="Titillium"/>
          <w:sz w:val="21"/>
          <w:szCs w:val="21"/>
        </w:rPr>
        <w:t xml:space="preserve"> per la durata di </w:t>
      </w:r>
      <w:r>
        <w:rPr>
          <w:rFonts w:ascii="Titillium" w:eastAsia="Titillium" w:hAnsi="Titillium" w:cs="Titillium"/>
          <w:b/>
          <w:bCs/>
          <w:sz w:val="21"/>
          <w:szCs w:val="21"/>
        </w:rPr>
        <w:t>36 mesi</w:t>
      </w:r>
      <w:r>
        <w:rPr>
          <w:rFonts w:ascii="Titillium" w:eastAsia="Titillium" w:hAnsi="Titillium" w:cs="Titillium"/>
          <w:sz w:val="21"/>
          <w:szCs w:val="21"/>
        </w:rPr>
        <w:t>, basato su una platea media di 50 utenti e un consumo medio giornaliero pro-capite pari ad euro 3,10 (IVA inclusa)</w:t>
      </w:r>
    </w:p>
    <w:p w14:paraId="33DB44AD" w14:textId="77777777" w:rsidR="00AC4C82" w:rsidRDefault="00AC4C82">
      <w:pPr>
        <w:spacing w:before="240" w:after="240" w:line="276" w:lineRule="auto"/>
        <w:jc w:val="both"/>
        <w:rPr>
          <w:rFonts w:ascii="Titillium" w:eastAsia="Titillium" w:hAnsi="Titillium" w:cs="Titillium"/>
          <w:sz w:val="21"/>
          <w:szCs w:val="21"/>
        </w:rPr>
      </w:pPr>
    </w:p>
    <w:p w14:paraId="00000013" w14:textId="77777777" w:rsidR="00F0714A" w:rsidRDefault="00000000">
      <w:pPr>
        <w:spacing w:before="240" w:after="240" w:line="276" w:lineRule="auto"/>
        <w:jc w:val="center"/>
        <w:rPr>
          <w:rFonts w:ascii="Titillium" w:eastAsia="Titillium" w:hAnsi="Titillium" w:cs="Titillium"/>
          <w:i/>
          <w:i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DICHIARA</w:t>
      </w:r>
      <w:r>
        <w:rPr>
          <w:rFonts w:ascii="Titillium" w:eastAsia="Titillium" w:hAnsi="Titillium" w:cs="Titillium"/>
          <w:sz w:val="21"/>
          <w:szCs w:val="21"/>
        </w:rPr>
        <w:t xml:space="preserve"> </w:t>
      </w:r>
      <w:r>
        <w:rPr>
          <w:rFonts w:ascii="Titillium" w:eastAsia="Titillium" w:hAnsi="Titillium" w:cs="Titillium"/>
          <w:i/>
          <w:iCs/>
          <w:sz w:val="21"/>
          <w:szCs w:val="21"/>
        </w:rPr>
        <w:t>(ai sensi degli artt. 46 e 47 del D.P.R. n. 445/2000)</w:t>
      </w:r>
    </w:p>
    <w:p w14:paraId="00000014" w14:textId="77777777" w:rsidR="00F0714A" w:rsidRDefault="00000000">
      <w:pPr>
        <w:numPr>
          <w:ilvl w:val="0"/>
          <w:numId w:val="1"/>
        </w:numPr>
        <w:spacing w:before="240"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 xml:space="preserve">Iscrizione </w:t>
      </w:r>
      <w:proofErr w:type="spellStart"/>
      <w:r>
        <w:rPr>
          <w:rFonts w:ascii="Titillium" w:eastAsia="Titillium" w:hAnsi="Titillium" w:cs="Titillium"/>
          <w:b/>
          <w:bCs/>
          <w:sz w:val="21"/>
          <w:szCs w:val="21"/>
        </w:rPr>
        <w:t>MePA</w:t>
      </w:r>
      <w:proofErr w:type="spellEnd"/>
      <w:r>
        <w:rPr>
          <w:rFonts w:ascii="Titillium" w:eastAsia="Titillium" w:hAnsi="Titillium" w:cs="Titillium"/>
          <w:b/>
          <w:bCs/>
          <w:sz w:val="21"/>
          <w:szCs w:val="21"/>
        </w:rPr>
        <w:t>:</w:t>
      </w:r>
      <w:r>
        <w:rPr>
          <w:rFonts w:ascii="Titillium" w:eastAsia="Titillium" w:hAnsi="Titillium" w:cs="Titillium"/>
          <w:sz w:val="21"/>
          <w:szCs w:val="21"/>
        </w:rPr>
        <w:t xml:space="preserve"> che l’operatore economico è regolarmente iscritto al portale CONSIP – sistema </w:t>
      </w:r>
      <w:proofErr w:type="spellStart"/>
      <w:r>
        <w:rPr>
          <w:rFonts w:ascii="Titillium" w:eastAsia="Titillium" w:hAnsi="Titillium" w:cs="Titillium"/>
          <w:sz w:val="21"/>
          <w:szCs w:val="21"/>
        </w:rPr>
        <w:t>MePA</w:t>
      </w:r>
      <w:proofErr w:type="spellEnd"/>
      <w:r>
        <w:rPr>
          <w:rFonts w:ascii="Titillium" w:eastAsia="Titillium" w:hAnsi="Titillium" w:cs="Titillium"/>
          <w:sz w:val="21"/>
          <w:szCs w:val="21"/>
        </w:rPr>
        <w:t xml:space="preserve"> per la categoria “Servizi di ristorazione – gestione distributori automatici” (CPV 42933000-5);</w:t>
      </w:r>
    </w:p>
    <w:p w14:paraId="00000015" w14:textId="77777777" w:rsidR="00F0714A" w:rsidRDefault="00F0714A">
      <w:pPr>
        <w:spacing w:before="240" w:line="276" w:lineRule="auto"/>
        <w:ind w:left="720"/>
        <w:jc w:val="both"/>
        <w:rPr>
          <w:rFonts w:ascii="Titillium" w:eastAsia="Titillium" w:hAnsi="Titillium" w:cs="Titillium"/>
          <w:sz w:val="21"/>
          <w:szCs w:val="21"/>
        </w:rPr>
      </w:pPr>
    </w:p>
    <w:p w14:paraId="00000016" w14:textId="77777777" w:rsidR="00F0714A" w:rsidRDefault="00000000">
      <w:pPr>
        <w:numPr>
          <w:ilvl w:val="0"/>
          <w:numId w:val="1"/>
        </w:numPr>
        <w:spacing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Requisiti di Ordine Generale:</w:t>
      </w:r>
      <w:r>
        <w:rPr>
          <w:rFonts w:ascii="Titillium" w:eastAsia="Titillium" w:hAnsi="Titillium" w:cs="Titillium"/>
          <w:sz w:val="21"/>
          <w:szCs w:val="21"/>
        </w:rPr>
        <w:t xml:space="preserve"> l’insussistenza di cause di esclusione di cui agli artt. 94, 95, 96, 97 e 98 del D.lgs. 36/2023;</w:t>
      </w:r>
    </w:p>
    <w:p w14:paraId="00000017" w14:textId="77777777" w:rsidR="00F0714A" w:rsidRDefault="00F0714A">
      <w:pPr>
        <w:spacing w:line="276" w:lineRule="auto"/>
        <w:ind w:left="720"/>
        <w:jc w:val="both"/>
        <w:rPr>
          <w:rFonts w:ascii="Titillium" w:eastAsia="Titillium" w:hAnsi="Titillium" w:cs="Titillium"/>
          <w:sz w:val="21"/>
          <w:szCs w:val="21"/>
        </w:rPr>
      </w:pPr>
    </w:p>
    <w:p w14:paraId="00000018" w14:textId="77777777" w:rsidR="00F0714A" w:rsidRDefault="00000000">
      <w:pPr>
        <w:numPr>
          <w:ilvl w:val="0"/>
          <w:numId w:val="1"/>
        </w:numPr>
        <w:spacing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Requisiti di Idoneità Professionale:</w:t>
      </w:r>
      <w:r>
        <w:rPr>
          <w:rFonts w:ascii="Titillium" w:eastAsia="Titillium" w:hAnsi="Titillium" w:cs="Titillium"/>
          <w:sz w:val="21"/>
          <w:szCs w:val="21"/>
        </w:rPr>
        <w:t xml:space="preserve"> l’iscrizione al Registro delle Imprese presso la C.C.I.A.A. per attività coerenti con l’oggetto del servizio;</w:t>
      </w:r>
    </w:p>
    <w:p w14:paraId="00000019" w14:textId="77777777" w:rsidR="00F0714A" w:rsidRDefault="00F0714A">
      <w:pPr>
        <w:spacing w:line="276" w:lineRule="auto"/>
        <w:ind w:left="720"/>
        <w:jc w:val="both"/>
        <w:rPr>
          <w:rFonts w:ascii="Titillium" w:eastAsia="Titillium" w:hAnsi="Titillium" w:cs="Titillium"/>
          <w:sz w:val="21"/>
          <w:szCs w:val="21"/>
        </w:rPr>
      </w:pPr>
    </w:p>
    <w:p w14:paraId="0000001A" w14:textId="77777777" w:rsidR="00F0714A" w:rsidRDefault="00000000">
      <w:pPr>
        <w:numPr>
          <w:ilvl w:val="0"/>
          <w:numId w:val="1"/>
        </w:numPr>
        <w:spacing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Esperienza Pregressa:</w:t>
      </w:r>
      <w:r>
        <w:rPr>
          <w:rFonts w:ascii="Titillium" w:eastAsia="Titillium" w:hAnsi="Titillium" w:cs="Titillium"/>
          <w:sz w:val="21"/>
          <w:szCs w:val="21"/>
        </w:rPr>
        <w:t xml:space="preserve"> di aver gestito con regolarità e buon esito, nell'ultimo triennio, servizi analoghi di gestione distributori automatici presso soggetti pubblici o privati;</w:t>
      </w:r>
    </w:p>
    <w:p w14:paraId="0000001B" w14:textId="77777777" w:rsidR="00F0714A" w:rsidRDefault="00F0714A">
      <w:pPr>
        <w:spacing w:line="276" w:lineRule="auto"/>
        <w:ind w:left="720"/>
        <w:jc w:val="both"/>
        <w:rPr>
          <w:rFonts w:ascii="Titillium" w:eastAsia="Titillium" w:hAnsi="Titillium" w:cs="Titillium"/>
          <w:sz w:val="21"/>
          <w:szCs w:val="21"/>
        </w:rPr>
      </w:pPr>
    </w:p>
    <w:p w14:paraId="0000001C" w14:textId="77777777" w:rsidR="00F0714A" w:rsidRDefault="00000000">
      <w:pPr>
        <w:numPr>
          <w:ilvl w:val="0"/>
          <w:numId w:val="1"/>
        </w:numPr>
        <w:spacing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Capacità Tecnica:</w:t>
      </w:r>
      <w:r>
        <w:rPr>
          <w:rFonts w:ascii="Titillium" w:eastAsia="Titillium" w:hAnsi="Titillium" w:cs="Titillium"/>
          <w:sz w:val="21"/>
          <w:szCs w:val="21"/>
        </w:rPr>
        <w:t xml:space="preserve"> di disporre di strutture, mezzi e personale idonei a garantire l’installazione e la manutenzione dei distributori automatici </w:t>
      </w:r>
      <w:proofErr w:type="gramStart"/>
      <w:r>
        <w:rPr>
          <w:rFonts w:ascii="Titillium" w:eastAsia="Titillium" w:hAnsi="Titillium" w:cs="Titillium"/>
          <w:sz w:val="21"/>
          <w:szCs w:val="21"/>
        </w:rPr>
        <w:t>installati  conformemente</w:t>
      </w:r>
      <w:proofErr w:type="gramEnd"/>
      <w:r>
        <w:rPr>
          <w:rFonts w:ascii="Titillium" w:eastAsia="Titillium" w:hAnsi="Titillium" w:cs="Titillium"/>
          <w:sz w:val="21"/>
          <w:szCs w:val="21"/>
        </w:rPr>
        <w:t xml:space="preserve"> agli standard richiesti;</w:t>
      </w:r>
    </w:p>
    <w:p w14:paraId="0000001D" w14:textId="77777777" w:rsidR="00F0714A" w:rsidRDefault="00F0714A">
      <w:pPr>
        <w:spacing w:line="276" w:lineRule="auto"/>
        <w:ind w:left="720"/>
        <w:jc w:val="both"/>
        <w:rPr>
          <w:rFonts w:ascii="Titillium" w:eastAsia="Titillium" w:hAnsi="Titillium" w:cs="Titillium"/>
          <w:sz w:val="21"/>
          <w:szCs w:val="21"/>
        </w:rPr>
      </w:pPr>
    </w:p>
    <w:p w14:paraId="0000001E" w14:textId="77777777" w:rsidR="00F0714A" w:rsidRDefault="00000000">
      <w:pPr>
        <w:numPr>
          <w:ilvl w:val="0"/>
          <w:numId w:val="1"/>
        </w:numPr>
        <w:spacing w:after="240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Accettazione Condizioni:</w:t>
      </w:r>
      <w:r>
        <w:rPr>
          <w:rFonts w:ascii="Titillium" w:eastAsia="Titillium" w:hAnsi="Titillium" w:cs="Titillium"/>
          <w:sz w:val="21"/>
          <w:szCs w:val="21"/>
        </w:rPr>
        <w:t xml:space="preserve"> di aver preso visione dell’Avviso e di accettare che la stima del valore della concessione ha carattere indicativo e che il rischio d’impresa è interamente a carico dell’aggiudicatario;</w:t>
      </w:r>
    </w:p>
    <w:p w14:paraId="0000001F" w14:textId="77777777" w:rsidR="00F0714A" w:rsidRDefault="00000000">
      <w:pPr>
        <w:numPr>
          <w:ilvl w:val="0"/>
          <w:numId w:val="1"/>
        </w:numPr>
        <w:spacing w:after="240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Rischio Operativo:</w:t>
      </w:r>
      <w:r>
        <w:rPr>
          <w:rFonts w:ascii="Titillium" w:eastAsia="Titillium" w:hAnsi="Titillium" w:cs="Titillium"/>
          <w:sz w:val="21"/>
          <w:szCs w:val="21"/>
        </w:rPr>
        <w:t xml:space="preserve"> di aver preso atto che la concessione comporta l'assunzione del rischio operativo e che i proventi derivano esclusivamente dalle vendite, al netto dei canoni dovuti (Demanio e INAF-OAR);</w:t>
      </w:r>
    </w:p>
    <w:p w14:paraId="00000020" w14:textId="77777777" w:rsidR="00F0714A" w:rsidRDefault="00000000">
      <w:pPr>
        <w:numPr>
          <w:ilvl w:val="0"/>
          <w:numId w:val="1"/>
        </w:numPr>
        <w:spacing w:after="240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Digitalizzazione:</w:t>
      </w:r>
      <w:r>
        <w:rPr>
          <w:rFonts w:ascii="Titillium" w:eastAsia="Titillium" w:hAnsi="Titillium" w:cs="Titillium"/>
          <w:sz w:val="21"/>
          <w:szCs w:val="21"/>
        </w:rPr>
        <w:t xml:space="preserve"> di essere in possesso di firma digitale e di strumentazione idonea alla gestione telematica della procedura.</w:t>
      </w:r>
    </w:p>
    <w:p w14:paraId="00000021" w14:textId="77777777" w:rsidR="00F0714A" w:rsidRDefault="00000000">
      <w:pPr>
        <w:numPr>
          <w:ilvl w:val="0"/>
          <w:numId w:val="1"/>
        </w:numPr>
        <w:spacing w:after="240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Conoscenza Condizioni:</w:t>
      </w:r>
      <w:r>
        <w:rPr>
          <w:rFonts w:ascii="Titillium" w:eastAsia="Titillium" w:hAnsi="Titillium" w:cs="Titillium"/>
          <w:sz w:val="21"/>
          <w:szCs w:val="21"/>
        </w:rPr>
        <w:t xml:space="preserve"> di aver preso piena conoscenza dell’Avviso Pubblico e di accettare tutte le condizioni ivi previste, compresa la stima del valore della concessione pari a </w:t>
      </w:r>
      <w:r>
        <w:rPr>
          <w:rFonts w:ascii="Titillium" w:eastAsia="Titillium" w:hAnsi="Titillium" w:cs="Titillium"/>
          <w:b/>
          <w:bCs/>
          <w:sz w:val="21"/>
          <w:szCs w:val="21"/>
        </w:rPr>
        <w:t>euro 120.900 (IVA inclusa)</w:t>
      </w:r>
      <w:r>
        <w:rPr>
          <w:rFonts w:ascii="Titillium" w:eastAsia="Titillium" w:hAnsi="Titillium" w:cs="Titillium"/>
          <w:sz w:val="21"/>
          <w:szCs w:val="21"/>
        </w:rPr>
        <w:t>;</w:t>
      </w:r>
    </w:p>
    <w:p w14:paraId="00000022" w14:textId="77777777" w:rsidR="00F0714A" w:rsidRDefault="00000000">
      <w:pPr>
        <w:numPr>
          <w:ilvl w:val="0"/>
          <w:numId w:val="1"/>
        </w:numPr>
        <w:spacing w:before="240" w:after="240" w:line="276" w:lineRule="auto"/>
        <w:rPr>
          <w:rFonts w:ascii="Arial" w:eastAsia="Arial" w:hAnsi="Arial" w:cs="Arial"/>
          <w:sz w:val="22"/>
          <w:szCs w:val="22"/>
        </w:rPr>
      </w:pPr>
      <w:proofErr w:type="spellStart"/>
      <w:r>
        <w:rPr>
          <w:rFonts w:ascii="Titillium" w:eastAsia="Titillium" w:hAnsi="Titillium" w:cs="Titillium"/>
          <w:b/>
          <w:bCs/>
          <w:sz w:val="21"/>
          <w:szCs w:val="21"/>
        </w:rPr>
        <w:t>Pantouflage</w:t>
      </w:r>
      <w:proofErr w:type="spellEnd"/>
      <w:r>
        <w:rPr>
          <w:rFonts w:ascii="Titillium" w:eastAsia="Titillium" w:hAnsi="Titillium" w:cs="Titillium"/>
          <w:b/>
          <w:bCs/>
          <w:sz w:val="21"/>
          <w:szCs w:val="21"/>
        </w:rPr>
        <w:t>:</w:t>
      </w:r>
      <w:r>
        <w:rPr>
          <w:rFonts w:ascii="Titillium" w:eastAsia="Titillium" w:hAnsi="Titillium" w:cs="Titillium"/>
          <w:sz w:val="21"/>
          <w:szCs w:val="21"/>
        </w:rPr>
        <w:t xml:space="preserve"> di non aver concluso contratti o attribuito incarichi a ex dipendenti di INAF-OAR in violazione dell'art. 53, comma 16-ter, del D.lgs. 165/2001.                                                                                 </w:t>
      </w:r>
    </w:p>
    <w:p w14:paraId="00000023" w14:textId="77777777" w:rsidR="00F0714A" w:rsidRDefault="00F0714A">
      <w:pPr>
        <w:spacing w:before="240" w:after="240" w:line="276" w:lineRule="auto"/>
        <w:rPr>
          <w:rFonts w:ascii="Titillium" w:eastAsia="Titillium" w:hAnsi="Titillium" w:cs="Titillium"/>
          <w:sz w:val="21"/>
          <w:szCs w:val="21"/>
        </w:rPr>
      </w:pPr>
    </w:p>
    <w:p w14:paraId="00000024" w14:textId="1978EEF5" w:rsidR="00F0714A" w:rsidRDefault="00000000">
      <w:pPr>
        <w:spacing w:before="240" w:after="240" w:line="276" w:lineRule="auto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L’operatore </w:t>
      </w:r>
      <w:r w:rsidR="00AC4C82">
        <w:rPr>
          <w:rFonts w:ascii="Titillium" w:eastAsia="Titillium" w:hAnsi="Titillium" w:cs="Titillium"/>
          <w:sz w:val="21"/>
          <w:szCs w:val="21"/>
        </w:rPr>
        <w:t>economico, altresì,</w:t>
      </w:r>
    </w:p>
    <w:p w14:paraId="00000025" w14:textId="77777777" w:rsidR="00F0714A" w:rsidRDefault="00000000">
      <w:pPr>
        <w:spacing w:before="240" w:after="240" w:line="276" w:lineRule="auto"/>
        <w:jc w:val="center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 xml:space="preserve">DICHIARA </w:t>
      </w:r>
    </w:p>
    <w:p w14:paraId="0E148294" w14:textId="77777777" w:rsidR="00AC4C82" w:rsidRDefault="00AC4C82">
      <w:pPr>
        <w:spacing w:before="240" w:after="240" w:line="276" w:lineRule="auto"/>
        <w:jc w:val="center"/>
        <w:rPr>
          <w:rFonts w:ascii="Titillium" w:eastAsia="Titillium" w:hAnsi="Titillium" w:cs="Titillium"/>
          <w:b/>
          <w:bCs/>
          <w:sz w:val="21"/>
          <w:szCs w:val="21"/>
        </w:rPr>
      </w:pPr>
    </w:p>
    <w:p w14:paraId="00000027" w14:textId="76ABBC7D" w:rsidR="00F0714A" w:rsidRDefault="00000000">
      <w:pPr>
        <w:numPr>
          <w:ilvl w:val="0"/>
          <w:numId w:val="2"/>
        </w:numPr>
        <w:spacing w:before="240"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di accettare l'obbligo di rispetto delle clausole sociali e dei Criteri Ambientali Minimi (CAM) vigenti per i servizi di ristoro;</w:t>
      </w:r>
    </w:p>
    <w:p w14:paraId="00000028" w14:textId="356AED8A" w:rsidR="00F0714A" w:rsidRDefault="00000000">
      <w:pPr>
        <w:numPr>
          <w:ilvl w:val="0"/>
          <w:numId w:val="2"/>
        </w:numPr>
        <w:spacing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di essere consapevole e di accettare che il servizio prevede il pagamento del canone annuo forfettario dovuto all'Agenzia del Demanio e il rimborso a INAF-OAR dei consumi di energia elettrica e idrica;</w:t>
      </w:r>
    </w:p>
    <w:p w14:paraId="00000029" w14:textId="622790C9" w:rsidR="00F0714A" w:rsidRDefault="00000000">
      <w:pPr>
        <w:numPr>
          <w:ilvl w:val="0"/>
          <w:numId w:val="2"/>
        </w:numPr>
        <w:spacing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di essere in grado di garantire il ripristino del servizio e la riparazione delle apparecchiature in caso di guasto entro il termine massimo di </w:t>
      </w:r>
      <w:r>
        <w:rPr>
          <w:rFonts w:ascii="Titillium" w:eastAsia="Titillium" w:hAnsi="Titillium" w:cs="Titillium"/>
          <w:b/>
          <w:bCs/>
          <w:sz w:val="21"/>
          <w:szCs w:val="21"/>
        </w:rPr>
        <w:t>24 ore</w:t>
      </w:r>
      <w:r>
        <w:rPr>
          <w:rFonts w:ascii="Titillium" w:eastAsia="Titillium" w:hAnsi="Titillium" w:cs="Titillium"/>
          <w:sz w:val="21"/>
          <w:szCs w:val="21"/>
        </w:rPr>
        <w:t xml:space="preserve"> dalla segnalazione;</w:t>
      </w:r>
    </w:p>
    <w:p w14:paraId="0000002A" w14:textId="22EA5E11" w:rsidR="00F0714A" w:rsidRDefault="00000000">
      <w:pPr>
        <w:numPr>
          <w:ilvl w:val="0"/>
          <w:numId w:val="2"/>
        </w:numPr>
        <w:spacing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di disporre di distributori automatici conformi a quanto richiesto dall'Avviso, dotati di sistemi di pagamento elettronico, sistemi </w:t>
      </w:r>
      <w:proofErr w:type="spellStart"/>
      <w:r>
        <w:rPr>
          <w:rFonts w:ascii="Titillium" w:eastAsia="Titillium" w:hAnsi="Titillium" w:cs="Titillium"/>
          <w:i/>
          <w:iCs/>
          <w:sz w:val="21"/>
          <w:szCs w:val="21"/>
        </w:rPr>
        <w:t>cashless</w:t>
      </w:r>
      <w:proofErr w:type="spellEnd"/>
      <w:r>
        <w:rPr>
          <w:rFonts w:ascii="Titillium" w:eastAsia="Titillium" w:hAnsi="Titillium" w:cs="Titillium"/>
          <w:sz w:val="21"/>
          <w:szCs w:val="21"/>
        </w:rPr>
        <w:t xml:space="preserve"> e dispositivi per l'accessibilità (tastiera Braille o equivalenti);</w:t>
      </w:r>
    </w:p>
    <w:p w14:paraId="0000002B" w14:textId="14276CFF" w:rsidR="00F0714A" w:rsidRDefault="00000000">
      <w:pPr>
        <w:numPr>
          <w:ilvl w:val="0"/>
          <w:numId w:val="2"/>
        </w:numPr>
        <w:spacing w:after="240"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di assumere a proprio totale carico i costi di installazione, manutenzione, sanificazione, rifornimento dei prodotti e smaltimento dei rifiuti, garantendo il rispetto delle normative HACCP e la tracciabilità alimentare.</w:t>
      </w:r>
    </w:p>
    <w:p w14:paraId="0000002C" w14:textId="77777777" w:rsidR="00F0714A" w:rsidRDefault="00000000">
      <w:pPr>
        <w:spacing w:before="240" w:after="240" w:line="276" w:lineRule="auto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Tutto quanto ciò premesso, l’operatore economico </w:t>
      </w:r>
    </w:p>
    <w:p w14:paraId="0000002D" w14:textId="77777777" w:rsidR="00F0714A" w:rsidRDefault="00000000">
      <w:pPr>
        <w:spacing w:before="240" w:after="240" w:line="276" w:lineRule="auto"/>
        <w:jc w:val="center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CHIEDE</w:t>
      </w:r>
    </w:p>
    <w:p w14:paraId="0000002E" w14:textId="77777777" w:rsidR="00F0714A" w:rsidRDefault="00000000">
      <w:pPr>
        <w:spacing w:before="240" w:after="240"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lastRenderedPageBreak/>
        <w:t xml:space="preserve">di ricevere l’invito e la documentazione di gara per la partecipazione alla successiva RDO telematica sul portale </w:t>
      </w:r>
      <w:proofErr w:type="spellStart"/>
      <w:r>
        <w:rPr>
          <w:rFonts w:ascii="Titillium" w:eastAsia="Titillium" w:hAnsi="Titillium" w:cs="Titillium"/>
          <w:sz w:val="21"/>
          <w:szCs w:val="21"/>
        </w:rPr>
        <w:t>MePA</w:t>
      </w:r>
      <w:proofErr w:type="spellEnd"/>
      <w:r>
        <w:rPr>
          <w:rFonts w:ascii="Titillium" w:eastAsia="Titillium" w:hAnsi="Titillium" w:cs="Titillium"/>
          <w:sz w:val="21"/>
          <w:szCs w:val="21"/>
        </w:rPr>
        <w:t>.</w:t>
      </w:r>
    </w:p>
    <w:p w14:paraId="0000002F" w14:textId="77777777" w:rsidR="00F0714A" w:rsidRDefault="00000000">
      <w:pPr>
        <w:spacing w:before="240" w:after="240" w:line="276" w:lineRule="auto"/>
        <w:jc w:val="both"/>
        <w:rPr>
          <w:rFonts w:ascii="Titillium" w:eastAsia="Titillium" w:hAnsi="Titillium" w:cs="Titillium"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>Luogo e Data _________________</w:t>
      </w:r>
    </w:p>
    <w:p w14:paraId="00000030" w14:textId="77777777" w:rsidR="00F0714A" w:rsidRDefault="00000000">
      <w:pPr>
        <w:spacing w:before="240" w:after="240" w:line="276" w:lineRule="auto"/>
        <w:jc w:val="right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b/>
          <w:bCs/>
          <w:sz w:val="21"/>
          <w:szCs w:val="21"/>
        </w:rPr>
        <w:t>Firma Digitale del Legale Rappresentante</w:t>
      </w:r>
    </w:p>
    <w:p w14:paraId="00000031" w14:textId="77777777" w:rsidR="00F0714A" w:rsidRDefault="00000000">
      <w:pPr>
        <w:spacing w:before="240" w:after="240" w:line="276" w:lineRule="auto"/>
        <w:jc w:val="right"/>
        <w:rPr>
          <w:rFonts w:ascii="Titillium" w:eastAsia="Titillium" w:hAnsi="Titillium" w:cs="Titillium"/>
          <w:b/>
          <w:bCs/>
          <w:sz w:val="21"/>
          <w:szCs w:val="21"/>
        </w:rPr>
      </w:pPr>
      <w:r>
        <w:rPr>
          <w:rFonts w:ascii="Titillium" w:eastAsia="Titillium" w:hAnsi="Titillium" w:cs="Titillium"/>
          <w:sz w:val="21"/>
          <w:szCs w:val="21"/>
        </w:rPr>
        <w:t xml:space="preserve"> _________________</w:t>
      </w:r>
    </w:p>
    <w:p w14:paraId="00000032" w14:textId="77777777" w:rsidR="00F0714A" w:rsidRDefault="00F0714A">
      <w:pPr>
        <w:spacing w:before="240" w:after="240" w:line="276" w:lineRule="auto"/>
        <w:jc w:val="center"/>
        <w:rPr>
          <w:rFonts w:ascii="Titillium" w:eastAsia="Titillium" w:hAnsi="Titillium" w:cs="Titillium"/>
          <w:i/>
          <w:iCs/>
          <w:sz w:val="21"/>
          <w:szCs w:val="21"/>
        </w:rPr>
      </w:pPr>
    </w:p>
    <w:p w14:paraId="00000033" w14:textId="77777777" w:rsidR="00F0714A" w:rsidRDefault="00F0714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Titillium" w:eastAsia="Titillium" w:hAnsi="Titillium" w:cs="Titillium"/>
          <w:b/>
          <w:bCs/>
          <w:sz w:val="21"/>
          <w:szCs w:val="21"/>
        </w:rPr>
      </w:pPr>
    </w:p>
    <w:sectPr w:rsidR="00F0714A">
      <w:headerReference w:type="default" r:id="rId9"/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CEF70" w14:textId="77777777" w:rsidR="00501DC8" w:rsidRDefault="00501DC8">
      <w:r>
        <w:separator/>
      </w:r>
    </w:p>
  </w:endnote>
  <w:endnote w:type="continuationSeparator" w:id="0">
    <w:p w14:paraId="6B9BF549" w14:textId="77777777" w:rsidR="00501DC8" w:rsidRDefault="00501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349D0A1-44D7-448B-8204-E35298E29A84}"/>
    <w:embedBold r:id="rId2" w:fontKey="{E509B56F-8633-428A-AAF4-484E55F25C5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329CCA7-D8F6-4556-9ECB-76EE2065A54A}"/>
  </w:font>
  <w:font w:name="Titillium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ium">
    <w:altName w:val="Calibri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602728A-60D1-4058-BFE7-44CD4ECD406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2C487D" w14:textId="77777777" w:rsidR="00501DC8" w:rsidRDefault="00501DC8">
      <w:r>
        <w:separator/>
      </w:r>
    </w:p>
  </w:footnote>
  <w:footnote w:type="continuationSeparator" w:id="0">
    <w:p w14:paraId="03EAE553" w14:textId="77777777" w:rsidR="00501DC8" w:rsidRDefault="00501DC8">
      <w:r>
        <w:continuationSeparator/>
      </w:r>
    </w:p>
  </w:footnote>
  <w:footnote w:id="1">
    <w:p w14:paraId="00000034" w14:textId="77777777" w:rsidR="00F0714A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vertAlign w:val="superscript"/>
        </w:rPr>
        <w:footnoteRef/>
      </w:r>
      <w:r>
        <w:rPr>
          <w:color w:val="000000"/>
        </w:rPr>
        <w:t xml:space="preserve"> Impresa, Società, raggruppamento, Consorzio, Cooperativa, ecc.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77777777" w:rsidR="00F0714A" w:rsidRDefault="00000000">
    <w:pPr>
      <w:jc w:val="center"/>
      <w:rPr>
        <w:rFonts w:ascii="Titilium" w:eastAsia="Titilium" w:hAnsi="Titilium" w:cs="Titilium"/>
        <w:sz w:val="21"/>
        <w:szCs w:val="21"/>
      </w:rPr>
    </w:pPr>
    <w:r>
      <w:rPr>
        <w:rFonts w:ascii="Titilium" w:eastAsia="Titilium" w:hAnsi="Titilium" w:cs="Titilium"/>
        <w:sz w:val="21"/>
        <w:szCs w:val="21"/>
      </w:rPr>
      <w:t>Carta intestata operatore economico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1407E7"/>
    <w:multiLevelType w:val="multilevel"/>
    <w:tmpl w:val="A3021F5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5EB1A30"/>
    <w:multiLevelType w:val="multilevel"/>
    <w:tmpl w:val="C596B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717821595">
    <w:abstractNumId w:val="0"/>
  </w:num>
  <w:num w:numId="2" w16cid:durableId="26955277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714A"/>
    <w:rsid w:val="00501DC8"/>
    <w:rsid w:val="00AC4C82"/>
    <w:rsid w:val="00F0714A"/>
    <w:rsid w:val="00FF4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5825B7"/>
  <w15:docId w15:val="{E557EBB6-71EC-423C-96F0-6391F531DC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lang w:val="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XnS842nszYrC3MS4jJ09YgiRfw==">CgMxLjAyDmgudmE4djRwOHB4N2EzOAByITFQQWtTSi1NeGJCZDVzVUhfOGUwa1BmeWZDZFIwcGt1Yw==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CE6F58C-06E7-4F85-A218-261BD8B5B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808</Words>
  <Characters>4606</Characters>
  <Application>Microsoft Office Word</Application>
  <DocSecurity>0</DocSecurity>
  <Lines>38</Lines>
  <Paragraphs>10</Paragraphs>
  <ScaleCrop>false</ScaleCrop>
  <Company/>
  <LinksUpToDate>false</LinksUpToDate>
  <CharactersWithSpaces>5404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giovanni Giusi</cp:lastModifiedBy>
  <cp:revision>2</cp:revision>
  <dcterms:created xsi:type="dcterms:W3CDTF">2026-05-28T05:12:00Z</dcterms:created>
  <dcterms:modified xsi:type="dcterms:W3CDTF">2026-05-28T05:15:00Z</dcterms:modified>
</cp:coreProperties>
</file>